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9345C" w14:textId="76DF2882" w:rsidR="006759E6" w:rsidRDefault="00FB59F4" w:rsidP="00FB59F4">
      <w:pPr>
        <w:jc w:val="center"/>
      </w:pPr>
      <w:r>
        <w:rPr>
          <w:noProof/>
        </w:rPr>
        <w:drawing>
          <wp:inline distT="0" distB="0" distL="0" distR="0" wp14:anchorId="64239273" wp14:editId="70591ACB">
            <wp:extent cx="3143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0" cy="590550"/>
                    </a:xfrm>
                    <a:prstGeom prst="rect">
                      <a:avLst/>
                    </a:prstGeom>
                    <a:noFill/>
                    <a:ln>
                      <a:noFill/>
                    </a:ln>
                  </pic:spPr>
                </pic:pic>
              </a:graphicData>
            </a:graphic>
          </wp:inline>
        </w:drawing>
      </w:r>
    </w:p>
    <w:p w14:paraId="6A21FDF5" w14:textId="0D8B4BE4" w:rsidR="00FB59F4" w:rsidRDefault="00FB59F4" w:rsidP="00FB59F4">
      <w:pPr>
        <w:jc w:val="center"/>
      </w:pPr>
    </w:p>
    <w:p w14:paraId="33EB10FB" w14:textId="150BDB40" w:rsidR="00FB59F4" w:rsidRDefault="00FB59F4" w:rsidP="00FB59F4">
      <w:pPr>
        <w:jc w:val="center"/>
        <w:rPr>
          <w:sz w:val="52"/>
          <w:szCs w:val="52"/>
        </w:rPr>
      </w:pPr>
      <w:r w:rsidRPr="00FB59F4">
        <w:rPr>
          <w:sz w:val="52"/>
          <w:szCs w:val="52"/>
        </w:rPr>
        <w:t>Conroe Banquets</w:t>
      </w:r>
    </w:p>
    <w:p w14:paraId="02E6D5E9" w14:textId="1D2FF5E3" w:rsidR="00FB59F4" w:rsidRPr="00FB59F4" w:rsidRDefault="00FB59F4" w:rsidP="00FB59F4">
      <w:pPr>
        <w:jc w:val="center"/>
        <w:rPr>
          <w:sz w:val="28"/>
          <w:szCs w:val="28"/>
        </w:rPr>
      </w:pPr>
    </w:p>
    <w:tbl>
      <w:tblPr>
        <w:tblStyle w:val="TableGrid"/>
        <w:tblW w:w="0" w:type="auto"/>
        <w:tblLook w:val="04A0" w:firstRow="1" w:lastRow="0" w:firstColumn="1" w:lastColumn="0" w:noHBand="0" w:noVBand="1"/>
      </w:tblPr>
      <w:tblGrid>
        <w:gridCol w:w="1558"/>
        <w:gridCol w:w="1558"/>
        <w:gridCol w:w="1558"/>
        <w:gridCol w:w="1558"/>
        <w:gridCol w:w="1773"/>
        <w:gridCol w:w="1345"/>
      </w:tblGrid>
      <w:tr w:rsidR="00FB59F4" w:rsidRPr="00FB59F4" w14:paraId="0312F0AE" w14:textId="77777777" w:rsidTr="00FB59F4">
        <w:tc>
          <w:tcPr>
            <w:tcW w:w="1558" w:type="dxa"/>
          </w:tcPr>
          <w:p w14:paraId="6B5A4110" w14:textId="015873A1" w:rsidR="00FB59F4" w:rsidRPr="004D1A66" w:rsidRDefault="00FB59F4" w:rsidP="00FB59F4">
            <w:pPr>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1A66">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Room Name</w:t>
            </w:r>
          </w:p>
        </w:tc>
        <w:tc>
          <w:tcPr>
            <w:tcW w:w="1558" w:type="dxa"/>
          </w:tcPr>
          <w:p w14:paraId="007F0664" w14:textId="7A1A07C2" w:rsidR="00FB59F4" w:rsidRPr="004D1A66" w:rsidRDefault="00FB59F4" w:rsidP="00FB59F4">
            <w:pPr>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1A66">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Room Location</w:t>
            </w:r>
          </w:p>
        </w:tc>
        <w:tc>
          <w:tcPr>
            <w:tcW w:w="1558" w:type="dxa"/>
          </w:tcPr>
          <w:p w14:paraId="2424DC4F" w14:textId="486C93F9" w:rsidR="00FB59F4" w:rsidRPr="004D1A66" w:rsidRDefault="00FB59F4" w:rsidP="00FB59F4">
            <w:pPr>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1A66">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Max Occupancy</w:t>
            </w:r>
          </w:p>
        </w:tc>
        <w:tc>
          <w:tcPr>
            <w:tcW w:w="1558" w:type="dxa"/>
          </w:tcPr>
          <w:p w14:paraId="35247C19" w14:textId="7743D2C9" w:rsidR="00FB59F4" w:rsidRPr="004D1A66" w:rsidRDefault="00FB59F4" w:rsidP="00FB59F4">
            <w:pPr>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1A66">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Service Times</w:t>
            </w:r>
          </w:p>
        </w:tc>
        <w:tc>
          <w:tcPr>
            <w:tcW w:w="1773" w:type="dxa"/>
          </w:tcPr>
          <w:p w14:paraId="53B98F4E" w14:textId="531B6810" w:rsidR="00FB59F4" w:rsidRPr="004D1A66" w:rsidRDefault="00FB59F4" w:rsidP="00FB59F4">
            <w:pPr>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1A66">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F&amp;B Minimums</w:t>
            </w:r>
          </w:p>
        </w:tc>
        <w:tc>
          <w:tcPr>
            <w:tcW w:w="1345" w:type="dxa"/>
          </w:tcPr>
          <w:p w14:paraId="10BB78B8" w14:textId="65B7DF5D" w:rsidR="00FB59F4" w:rsidRPr="004D1A66" w:rsidRDefault="00FB59F4" w:rsidP="00FB59F4">
            <w:pPr>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1A66">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Room Charge</w:t>
            </w:r>
          </w:p>
        </w:tc>
      </w:tr>
      <w:tr w:rsidR="00FB59F4" w:rsidRPr="00FB59F4" w14:paraId="396CB6CF" w14:textId="77777777" w:rsidTr="00FB59F4">
        <w:tc>
          <w:tcPr>
            <w:tcW w:w="1558" w:type="dxa"/>
          </w:tcPr>
          <w:p w14:paraId="08A801C8" w14:textId="0D3CD501" w:rsidR="00FB59F4" w:rsidRPr="00FB59F4" w:rsidRDefault="00FB59F4" w:rsidP="00FB59F4">
            <w:pPr>
              <w:jc w:val="center"/>
              <w:rPr>
                <w:sz w:val="24"/>
                <w:szCs w:val="24"/>
              </w:rPr>
            </w:pPr>
            <w:r w:rsidRPr="00FB59F4">
              <w:rPr>
                <w:sz w:val="24"/>
                <w:szCs w:val="24"/>
              </w:rPr>
              <w:t>Aeronautical Rodeo</w:t>
            </w:r>
          </w:p>
        </w:tc>
        <w:tc>
          <w:tcPr>
            <w:tcW w:w="1558" w:type="dxa"/>
          </w:tcPr>
          <w:p w14:paraId="3058FC79" w14:textId="61D8268C" w:rsidR="00FB59F4" w:rsidRPr="00FB59F4" w:rsidRDefault="00FB59F4" w:rsidP="00FB59F4">
            <w:pPr>
              <w:jc w:val="center"/>
              <w:rPr>
                <w:sz w:val="24"/>
                <w:szCs w:val="24"/>
              </w:rPr>
            </w:pPr>
            <w:r w:rsidRPr="00FB59F4">
              <w:rPr>
                <w:sz w:val="24"/>
                <w:szCs w:val="24"/>
              </w:rPr>
              <w:t>3</w:t>
            </w:r>
            <w:r w:rsidRPr="00FB59F4">
              <w:rPr>
                <w:sz w:val="24"/>
                <w:szCs w:val="24"/>
                <w:vertAlign w:val="superscript"/>
              </w:rPr>
              <w:t>rd</w:t>
            </w:r>
            <w:r w:rsidRPr="00FB59F4">
              <w:rPr>
                <w:sz w:val="24"/>
                <w:szCs w:val="24"/>
              </w:rPr>
              <w:t xml:space="preserve"> Floor</w:t>
            </w:r>
          </w:p>
        </w:tc>
        <w:tc>
          <w:tcPr>
            <w:tcW w:w="1558" w:type="dxa"/>
          </w:tcPr>
          <w:p w14:paraId="60DA7BDF" w14:textId="6FDF5D85" w:rsidR="00FB59F4" w:rsidRPr="00FB59F4" w:rsidRDefault="002E64AB" w:rsidP="00FB59F4">
            <w:pPr>
              <w:jc w:val="center"/>
              <w:rPr>
                <w:sz w:val="24"/>
                <w:szCs w:val="24"/>
              </w:rPr>
            </w:pPr>
            <w:r>
              <w:rPr>
                <w:sz w:val="24"/>
                <w:szCs w:val="24"/>
              </w:rPr>
              <w:t>30</w:t>
            </w:r>
          </w:p>
        </w:tc>
        <w:tc>
          <w:tcPr>
            <w:tcW w:w="1558" w:type="dxa"/>
          </w:tcPr>
          <w:p w14:paraId="38CF075F" w14:textId="1B689B12" w:rsidR="00FB59F4" w:rsidRPr="00FB59F4" w:rsidRDefault="00FB59F4" w:rsidP="00FB59F4">
            <w:pPr>
              <w:jc w:val="center"/>
              <w:rPr>
                <w:sz w:val="24"/>
                <w:szCs w:val="24"/>
              </w:rPr>
            </w:pPr>
            <w:r w:rsidRPr="00FB59F4">
              <w:rPr>
                <w:sz w:val="24"/>
                <w:szCs w:val="24"/>
              </w:rPr>
              <w:t>8AM – 3PM</w:t>
            </w:r>
          </w:p>
        </w:tc>
        <w:tc>
          <w:tcPr>
            <w:tcW w:w="1773" w:type="dxa"/>
          </w:tcPr>
          <w:p w14:paraId="795A9223" w14:textId="2DDE5337" w:rsidR="00FB59F4" w:rsidRPr="00FB59F4" w:rsidRDefault="00FB59F4" w:rsidP="00FB59F4">
            <w:pPr>
              <w:jc w:val="center"/>
              <w:rPr>
                <w:sz w:val="24"/>
                <w:szCs w:val="24"/>
              </w:rPr>
            </w:pPr>
            <w:r>
              <w:rPr>
                <w:sz w:val="24"/>
                <w:szCs w:val="24"/>
              </w:rPr>
              <w:t>$200              Less than $400</w:t>
            </w:r>
          </w:p>
        </w:tc>
        <w:tc>
          <w:tcPr>
            <w:tcW w:w="1345" w:type="dxa"/>
          </w:tcPr>
          <w:p w14:paraId="22A5459F" w14:textId="18B3B7A9" w:rsidR="00FB59F4" w:rsidRPr="00FB59F4" w:rsidRDefault="00FB59F4" w:rsidP="002E64AB">
            <w:pPr>
              <w:jc w:val="center"/>
              <w:rPr>
                <w:sz w:val="24"/>
                <w:szCs w:val="24"/>
              </w:rPr>
            </w:pPr>
            <w:r>
              <w:rPr>
                <w:sz w:val="24"/>
                <w:szCs w:val="24"/>
              </w:rPr>
              <w:t>$</w:t>
            </w:r>
            <w:r w:rsidR="002E64AB">
              <w:rPr>
                <w:sz w:val="24"/>
                <w:szCs w:val="24"/>
              </w:rPr>
              <w:t>100</w:t>
            </w:r>
            <w:r>
              <w:rPr>
                <w:sz w:val="24"/>
                <w:szCs w:val="24"/>
              </w:rPr>
              <w:t xml:space="preserve"> </w:t>
            </w:r>
            <w:r w:rsidR="002E64AB">
              <w:rPr>
                <w:sz w:val="24"/>
                <w:szCs w:val="24"/>
              </w:rPr>
              <w:t xml:space="preserve">                                                                               C</w:t>
            </w:r>
            <w:r>
              <w:rPr>
                <w:sz w:val="24"/>
                <w:szCs w:val="24"/>
              </w:rPr>
              <w:t>harge</w:t>
            </w:r>
          </w:p>
        </w:tc>
      </w:tr>
      <w:tr w:rsidR="00FB59F4" w:rsidRPr="00FB59F4" w14:paraId="174F160A" w14:textId="77777777" w:rsidTr="00FB59F4">
        <w:tc>
          <w:tcPr>
            <w:tcW w:w="1558" w:type="dxa"/>
          </w:tcPr>
          <w:p w14:paraId="1AADF912" w14:textId="1CB17249" w:rsidR="00FB59F4" w:rsidRPr="00FB59F4" w:rsidRDefault="00FB59F4" w:rsidP="00FB59F4">
            <w:pPr>
              <w:jc w:val="center"/>
              <w:rPr>
                <w:sz w:val="24"/>
                <w:szCs w:val="24"/>
              </w:rPr>
            </w:pPr>
            <w:r>
              <w:rPr>
                <w:sz w:val="24"/>
                <w:szCs w:val="24"/>
              </w:rPr>
              <w:t>Entire Restaurant and Patio</w:t>
            </w:r>
          </w:p>
        </w:tc>
        <w:tc>
          <w:tcPr>
            <w:tcW w:w="1558" w:type="dxa"/>
          </w:tcPr>
          <w:p w14:paraId="1F38E129" w14:textId="69301DC2" w:rsidR="00FB59F4" w:rsidRPr="00FB59F4" w:rsidRDefault="00FB59F4" w:rsidP="00FB59F4">
            <w:pPr>
              <w:jc w:val="center"/>
              <w:rPr>
                <w:sz w:val="24"/>
                <w:szCs w:val="24"/>
              </w:rPr>
            </w:pPr>
            <w:r>
              <w:rPr>
                <w:sz w:val="24"/>
                <w:szCs w:val="24"/>
              </w:rPr>
              <w:t>3</w:t>
            </w:r>
            <w:r w:rsidRPr="00FB59F4">
              <w:rPr>
                <w:sz w:val="24"/>
                <w:szCs w:val="24"/>
                <w:vertAlign w:val="superscript"/>
              </w:rPr>
              <w:t>rd</w:t>
            </w:r>
            <w:r>
              <w:rPr>
                <w:sz w:val="24"/>
                <w:szCs w:val="24"/>
              </w:rPr>
              <w:t xml:space="preserve"> Floor</w:t>
            </w:r>
          </w:p>
        </w:tc>
        <w:tc>
          <w:tcPr>
            <w:tcW w:w="1558" w:type="dxa"/>
          </w:tcPr>
          <w:p w14:paraId="6422AF85" w14:textId="5CC05F50" w:rsidR="00FB59F4" w:rsidRPr="00FB59F4" w:rsidRDefault="00FB59F4" w:rsidP="00FB59F4">
            <w:pPr>
              <w:jc w:val="center"/>
              <w:rPr>
                <w:sz w:val="24"/>
                <w:szCs w:val="24"/>
              </w:rPr>
            </w:pPr>
            <w:r>
              <w:rPr>
                <w:sz w:val="24"/>
                <w:szCs w:val="24"/>
              </w:rPr>
              <w:t>150</w:t>
            </w:r>
          </w:p>
        </w:tc>
        <w:tc>
          <w:tcPr>
            <w:tcW w:w="1558" w:type="dxa"/>
          </w:tcPr>
          <w:p w14:paraId="21B4620D" w14:textId="6477B239" w:rsidR="00FB59F4" w:rsidRPr="00FB59F4" w:rsidRDefault="00FB59F4" w:rsidP="00FB59F4">
            <w:pPr>
              <w:jc w:val="center"/>
              <w:rPr>
                <w:sz w:val="24"/>
                <w:szCs w:val="24"/>
              </w:rPr>
            </w:pPr>
            <w:r>
              <w:rPr>
                <w:sz w:val="24"/>
                <w:szCs w:val="24"/>
              </w:rPr>
              <w:t>After 3PM</w:t>
            </w:r>
          </w:p>
        </w:tc>
        <w:tc>
          <w:tcPr>
            <w:tcW w:w="1773" w:type="dxa"/>
          </w:tcPr>
          <w:p w14:paraId="2022534F" w14:textId="06A1828D" w:rsidR="00FB59F4" w:rsidRPr="00FB59F4" w:rsidRDefault="00FB59F4" w:rsidP="00FB59F4">
            <w:pPr>
              <w:jc w:val="center"/>
              <w:rPr>
                <w:sz w:val="24"/>
                <w:szCs w:val="24"/>
              </w:rPr>
            </w:pPr>
            <w:r>
              <w:rPr>
                <w:sz w:val="24"/>
                <w:szCs w:val="24"/>
              </w:rPr>
              <w:t>$1,000-$1,500 $1,500 - $</w:t>
            </w:r>
            <w:proofErr w:type="gramStart"/>
            <w:r>
              <w:rPr>
                <w:sz w:val="24"/>
                <w:szCs w:val="24"/>
              </w:rPr>
              <w:t>2,000  $</w:t>
            </w:r>
            <w:proofErr w:type="gramEnd"/>
            <w:r>
              <w:rPr>
                <w:sz w:val="24"/>
                <w:szCs w:val="24"/>
              </w:rPr>
              <w:t>2,000+</w:t>
            </w:r>
          </w:p>
        </w:tc>
        <w:tc>
          <w:tcPr>
            <w:tcW w:w="1345" w:type="dxa"/>
          </w:tcPr>
          <w:p w14:paraId="57BA36F1" w14:textId="77777777" w:rsidR="00FB59F4" w:rsidRDefault="00FB59F4" w:rsidP="00FB59F4">
            <w:pPr>
              <w:jc w:val="center"/>
              <w:rPr>
                <w:sz w:val="24"/>
                <w:szCs w:val="24"/>
              </w:rPr>
            </w:pPr>
            <w:r>
              <w:rPr>
                <w:sz w:val="24"/>
                <w:szCs w:val="24"/>
              </w:rPr>
              <w:t xml:space="preserve">$500       $250       </w:t>
            </w:r>
          </w:p>
          <w:p w14:paraId="5FE2B538" w14:textId="3B3FB3BC" w:rsidR="00FB59F4" w:rsidRPr="00FB59F4" w:rsidRDefault="00FB59F4" w:rsidP="00FB59F4">
            <w:pPr>
              <w:jc w:val="center"/>
              <w:rPr>
                <w:sz w:val="24"/>
                <w:szCs w:val="24"/>
              </w:rPr>
            </w:pPr>
            <w:r>
              <w:rPr>
                <w:sz w:val="24"/>
                <w:szCs w:val="24"/>
              </w:rPr>
              <w:t>No Charge</w:t>
            </w:r>
          </w:p>
        </w:tc>
      </w:tr>
    </w:tbl>
    <w:p w14:paraId="53F8BFC2" w14:textId="4E85B7CB" w:rsidR="00FB59F4" w:rsidRDefault="00FB59F4" w:rsidP="00FB59F4">
      <w:pPr>
        <w:jc w:val="center"/>
        <w:rPr>
          <w:sz w:val="24"/>
          <w:szCs w:val="24"/>
        </w:rPr>
      </w:pPr>
    </w:p>
    <w:p w14:paraId="7AE8CD65" w14:textId="501C960C" w:rsidR="004D1A66" w:rsidRDefault="004D1A66" w:rsidP="00FB59F4">
      <w:pPr>
        <w:jc w:val="center"/>
        <w:rPr>
          <w:sz w:val="24"/>
          <w:szCs w:val="24"/>
        </w:rPr>
      </w:pPr>
    </w:p>
    <w:p w14:paraId="73B53C06" w14:textId="3C56A914" w:rsidR="004D1A66" w:rsidRDefault="004D1A66" w:rsidP="004D1A66">
      <w:pPr>
        <w:rPr>
          <w:sz w:val="24"/>
          <w:szCs w:val="24"/>
        </w:rPr>
      </w:pPr>
      <w:r>
        <w:rPr>
          <w:sz w:val="24"/>
          <w:szCs w:val="24"/>
        </w:rPr>
        <w:t>Food and Beverage Minimums, Deposits</w:t>
      </w:r>
    </w:p>
    <w:p w14:paraId="63A1443F" w14:textId="56A2A9DD" w:rsidR="004D1A66" w:rsidRDefault="004D1A66" w:rsidP="004D1A66">
      <w:pPr>
        <w:rPr>
          <w:sz w:val="24"/>
          <w:szCs w:val="24"/>
        </w:rPr>
      </w:pPr>
      <w:r>
        <w:rPr>
          <w:sz w:val="24"/>
          <w:szCs w:val="24"/>
        </w:rPr>
        <w:t xml:space="preserve">A credit card is required to reserve a banquet room. Room charges, food and beverage minimums do not include tax or gratuity. Additional charges may apply if you </w:t>
      </w:r>
      <w:proofErr w:type="gramStart"/>
      <w:r>
        <w:rPr>
          <w:sz w:val="24"/>
          <w:szCs w:val="24"/>
        </w:rPr>
        <w:t>can’t</w:t>
      </w:r>
      <w:proofErr w:type="gramEnd"/>
      <w:r>
        <w:rPr>
          <w:sz w:val="24"/>
          <w:szCs w:val="24"/>
        </w:rPr>
        <w:t xml:space="preserve"> commit to this minimum. A $200 refundable deposit is required for all parties. </w:t>
      </w:r>
      <w:proofErr w:type="gramStart"/>
      <w:r>
        <w:rPr>
          <w:sz w:val="24"/>
          <w:szCs w:val="24"/>
        </w:rPr>
        <w:t>As lon</w:t>
      </w:r>
      <w:r w:rsidR="009C4268">
        <w:rPr>
          <w:sz w:val="24"/>
          <w:szCs w:val="24"/>
        </w:rPr>
        <w:t>g</w:t>
      </w:r>
      <w:r>
        <w:rPr>
          <w:sz w:val="24"/>
          <w:szCs w:val="24"/>
        </w:rPr>
        <w:t xml:space="preserve"> as</w:t>
      </w:r>
      <w:proofErr w:type="gramEnd"/>
      <w:r>
        <w:rPr>
          <w:sz w:val="24"/>
          <w:szCs w:val="24"/>
        </w:rPr>
        <w:t xml:space="preserve"> the event is canceled 7 days prior, we will refund the deposit.</w:t>
      </w:r>
    </w:p>
    <w:p w14:paraId="230C0654" w14:textId="1F5B8CE6" w:rsidR="004D1A66" w:rsidRDefault="004D1A66" w:rsidP="004D1A66">
      <w:pPr>
        <w:rPr>
          <w:sz w:val="24"/>
          <w:szCs w:val="24"/>
        </w:rPr>
      </w:pPr>
    </w:p>
    <w:p w14:paraId="163918DE" w14:textId="15FF7436" w:rsidR="004D1A66" w:rsidRDefault="004D1A66" w:rsidP="004D1A66">
      <w:pPr>
        <w:rPr>
          <w:sz w:val="24"/>
          <w:szCs w:val="24"/>
        </w:rPr>
      </w:pPr>
      <w:r>
        <w:rPr>
          <w:sz w:val="24"/>
          <w:szCs w:val="24"/>
        </w:rPr>
        <w:t>Service</w:t>
      </w:r>
    </w:p>
    <w:p w14:paraId="041A06A0" w14:textId="00FB2FF4" w:rsidR="004D1A66" w:rsidRDefault="004D1A66" w:rsidP="004D1A66">
      <w:pPr>
        <w:rPr>
          <w:sz w:val="24"/>
          <w:szCs w:val="24"/>
        </w:rPr>
      </w:pPr>
      <w:r>
        <w:rPr>
          <w:sz w:val="24"/>
          <w:szCs w:val="24"/>
        </w:rPr>
        <w:t>Food is served buffet style with a server on hand. An 18% gratuity will be added to the bill. The number of servers will be determined by the size of the party.</w:t>
      </w:r>
    </w:p>
    <w:p w14:paraId="3F6B4582" w14:textId="115669F7" w:rsidR="004D1A66" w:rsidRDefault="004D1A66" w:rsidP="004D1A66">
      <w:pPr>
        <w:rPr>
          <w:sz w:val="24"/>
          <w:szCs w:val="24"/>
        </w:rPr>
      </w:pPr>
    </w:p>
    <w:p w14:paraId="3B2BF096" w14:textId="0CAD7D40" w:rsidR="004D1A66" w:rsidRDefault="004D1A66" w:rsidP="004D1A66">
      <w:pPr>
        <w:rPr>
          <w:sz w:val="24"/>
          <w:szCs w:val="24"/>
        </w:rPr>
      </w:pPr>
      <w:r>
        <w:rPr>
          <w:sz w:val="24"/>
          <w:szCs w:val="24"/>
        </w:rPr>
        <w:t>Beverages</w:t>
      </w:r>
    </w:p>
    <w:p w14:paraId="76AAC34F" w14:textId="4E826538" w:rsidR="004D1A66" w:rsidRPr="00FB59F4" w:rsidRDefault="004D1A66" w:rsidP="004D1A66">
      <w:pPr>
        <w:rPr>
          <w:sz w:val="24"/>
          <w:szCs w:val="24"/>
        </w:rPr>
      </w:pPr>
      <w:r>
        <w:rPr>
          <w:sz w:val="24"/>
          <w:szCs w:val="24"/>
        </w:rPr>
        <w:t>All alcoholic beverages including wine and beer are charged based on consumption and are in addition to the per person menu pricing. We cannot accept wine or spirits purchased elsewhere to be brought into our establishment. All beverages are based on in house menu pricing. Any partial bottles of wine that have been paid for may be recorked and taken home at the end of your event.</w:t>
      </w:r>
    </w:p>
    <w:sectPr w:rsidR="004D1A66" w:rsidRPr="00FB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F4"/>
    <w:rsid w:val="002E64AB"/>
    <w:rsid w:val="004D1A66"/>
    <w:rsid w:val="006759E6"/>
    <w:rsid w:val="008566DD"/>
    <w:rsid w:val="009C4268"/>
    <w:rsid w:val="00FB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B206"/>
  <w15:chartTrackingRefBased/>
  <w15:docId w15:val="{00FFDCAE-DCB6-4451-81B3-1FCBE307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BWCN-MGR1</dc:creator>
  <cp:keywords/>
  <dc:description/>
  <cp:lastModifiedBy>BWCN-MGR1</cp:lastModifiedBy>
  <cp:revision>3</cp:revision>
  <dcterms:created xsi:type="dcterms:W3CDTF">2020-12-30T16:09:00Z</dcterms:created>
  <dcterms:modified xsi:type="dcterms:W3CDTF">2021-02-27T16:33:00Z</dcterms:modified>
</cp:coreProperties>
</file>