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Georgia" w:cs="Georgia" w:eastAsia="Georgia" w:hAnsi="Georgia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rFonts w:ascii="Georgia" w:cs="Georgia" w:eastAsia="Georgia" w:hAnsi="Georg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36"/>
          <w:szCs w:val="36"/>
          <w:vertAlign w:val="baseline"/>
          <w:rtl w:val="0"/>
        </w:rPr>
        <w:t xml:space="preserve">Bayona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0"/>
          <w:sz w:val="24"/>
          <w:szCs w:val="24"/>
          <w:vertAlign w:val="baseline"/>
          <w:rtl w:val="0"/>
        </w:rPr>
        <w:t xml:space="preserve">430 Dauphine Street New Orleans, La.  70112 (504) 833 1007  Fax (504) 831 3011</w:t>
      </w:r>
    </w:p>
    <w:p w:rsidR="00000000" w:rsidDel="00000000" w:rsidP="00000000" w:rsidRDefault="00000000" w:rsidRPr="00000000">
      <w:pPr>
        <w:pStyle w:val="Heading2"/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Private Lunch Contract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Contact: ___________________                 On-Site Contact: 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  ____________    Cell phone:_________________________</w:t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E-mail Address:  _____________________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Credit Card Type: ________________________      </w:t>
        <w:tab/>
        <w:t xml:space="preserve"> Exp. Date:_______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Credit Card Number:_________________________            Deposit:__________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Function:______________________       Number of Guests:  ________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Day Of  Function:   ______________             Date Of Function:  _____________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  ______________</w: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Menu: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Hors d’oeuvres:</w:t>
      </w:r>
      <w:r w:rsidDel="00000000" w:rsidR="00000000" w:rsidRPr="00000000">
        <w:rPr>
          <w:vertAlign w:val="baseline"/>
          <w:rtl w:val="0"/>
        </w:rPr>
        <w:tab/>
        <w:t xml:space="preserve">Chef’s Selection (optional) - $3.00/piece  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i w:val="1"/>
          <w:vertAlign w:val="baseline"/>
          <w:rtl w:val="0"/>
        </w:rPr>
        <w:t xml:space="preserve">First Course:</w:t>
        <w:tab/>
        <w:tab/>
      </w:r>
      <w:r w:rsidDel="00000000" w:rsidR="00000000" w:rsidRPr="00000000">
        <w:rPr>
          <w:vertAlign w:val="baseline"/>
          <w:rtl w:val="0"/>
        </w:rPr>
        <w:t xml:space="preserve">Choice of: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Cream of Garlic Soup, Soup of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  <w:t xml:space="preserve">Bayona Salad with Balsamic Vinaigrette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ab/>
        <w:t xml:space="preserve">or Caesar Salad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Main Courses:</w:t>
        <w:tab/>
      </w:r>
      <w:r w:rsidDel="00000000" w:rsidR="00000000" w:rsidRPr="00000000">
        <w:rPr>
          <w:vertAlign w:val="baseline"/>
          <w:rtl w:val="0"/>
        </w:rPr>
        <w:tab/>
        <w:t xml:space="preserve">Choice of: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Barbeque Shrimp with Pimento Cheese Sandwich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ab/>
        <w:tab/>
        <w:t xml:space="preserve">           Grilled Lamb Loin with Goat Cheese and Zinfandel Sauce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               Fish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               Smoked Duck Sandwich with Cashew Butter and Pepper Jelly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                                Vegetable 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Desserts: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Chef’s Selections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Beverages:</w:t>
        <w:tab/>
        <w:t xml:space="preserve">Open Bar (alcoholic and non-alcoholic beverages) and pre-selected wines (recommended for parties 16-30) are charged on consumption basis. For wine consulting call </w:t>
      </w:r>
      <w:r w:rsidDel="00000000" w:rsidR="00000000" w:rsidRPr="00000000">
        <w:rPr>
          <w:rtl w:val="0"/>
        </w:rPr>
        <w:t xml:space="preserve">Shannon Fristoe at</w:t>
      </w:r>
      <w:r w:rsidDel="00000000" w:rsidR="00000000" w:rsidRPr="00000000">
        <w:rPr>
          <w:vertAlign w:val="baseline"/>
          <w:rtl w:val="0"/>
        </w:rPr>
        <w:t xml:space="preserve"> 504 810 9200.</w:t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hanging="2160"/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Set Up:</w:t>
        <w:tab/>
        <w:t xml:space="preserve">The “Wine Room”, Bayona’s private party room can accommodate a maximum of 30 guests seated at 3 round tables of 10.  10 guests is the maximum we can seat at one table at any time.   The Wine Room is a beautiful, intimate room with exposed wine cages and vaulted ceilings, but it does have a few limitations: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Please note that the wine room is not wheelchair accessible and does not have audio/visual capabilities.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Payment:</w:t>
        <w:tab/>
        <w:tab/>
        <w:t xml:space="preserve">One credit card per table maximum.  NO individual checks.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Total Cost:</w:t>
      </w:r>
      <w:r w:rsidDel="00000000" w:rsidR="00000000" w:rsidRPr="00000000">
        <w:rPr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 $38 per person for food, plus beverages,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11% tax and 20% gratuity</w:t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Cancellation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Parties must confirm number of guest 24 hours prior to the event.  If party is smaller than confirmed number client will be charged $15 per person for the difference.  Parties have 48 hours to cancel entire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Regina Keever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Regina Keever, Bayona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0"/>
          <w:i w:val="0"/>
          <w:color w:val="00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Private Party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aramond"/>
  <w:font w:name="Georgia"/>
  <w:font w:name="Dancing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aramond" w:cs="Garamond" w:eastAsia="Garamond" w:hAnsi="Garamond"/>
      <w:i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aramond" w:hAnsi="Garamond"/>
      <w:i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